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Anexă la Caietul de sarcini </w:t>
      </w:r>
      <w:r w:rsidR="002C7377" w:rsidRPr="0021774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execuție lucrări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La toate lucrarile se va respecta conceptul DNSH - „Do No Significant Harm” (“A nu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prejudicia în mod semnificativ”), astfel cum este prevăzut la Articolul 17 din Regulamentul (UE) 2020/852 privind instituirea unui cadru care să faciliteze investițiile durabile, prin crearea unui sistem de clasificare (sau „taxonomie”) pentru activitățile economice durabile din punctul de vedere al mediului.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143F0" w:rsidP="001143F0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</w:t>
      </w: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Contractul de lucrări va cuprinde detaliat inclusiv măsurile privind respectarea obligaţiilor pentru implementarea principiului „Do No Significant Harm” (DNSH) și tipul de documente </w:t>
      </w:r>
      <w:r w:rsidR="00783EA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justificative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pri</w:t>
      </w:r>
      <w:r w:rsidR="00783EA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n care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783EA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va dovedi respectarea acestora.</w:t>
      </w:r>
    </w:p>
    <w:p w:rsidR="00783EAD" w:rsidRPr="00217749" w:rsidRDefault="00783EAD" w:rsidP="00783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3EAD" w:rsidRPr="00217749" w:rsidRDefault="00783EAD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Constructorii vor prezenta documentele justificative prin care se va dovedi respectarea   obligaţiilor pentru implementarea principiului „Do No Significant Harm” (DNSH)</w:t>
      </w:r>
    </w:p>
    <w:p w:rsidR="00170755" w:rsidRPr="00217749" w:rsidRDefault="00170755" w:rsidP="002C73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C005BA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ctivitățile/lucrările realizate în cadrul proiectului care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contribuie la unul dintre cele 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șase obiective 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 mediu trebuie să fie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conforme cu princi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piul de </w:t>
      </w:r>
      <w:r w:rsidRPr="0021774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 xml:space="preserve">„a nu prejudicia în mod </w:t>
      </w:r>
      <w:r w:rsidR="00170755" w:rsidRPr="0021774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>semnificativ” (DNSH – „Do No Significant Harm”)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 prevăzute în C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omunicarea Comisiei – Orientări 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tehnice privind aplicarea principiului de „a nu aduce prejudicii semnificative” în te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meiul </w:t>
      </w:r>
      <w:r w:rsidR="00170755"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Regulamentului privind Mecanismul de redresare și reziliență (2021/C58/01).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170755" w:rsidRPr="00217749" w:rsidRDefault="00C005BA" w:rsidP="00C005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="00170755"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rincipiul DNSH trebuie</w:t>
      </w: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170755"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interpretat în sensul articolului 17 din Regulamentul (UE) 2020/852 („</w:t>
      </w: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Regulamentul privind </w:t>
      </w:r>
      <w:r w:rsidR="00170755"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taxonomia”), conform căruia noțiunea de „prejudiciere în mod</w:t>
      </w: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semnificativ” pentru cele șase </w:t>
      </w:r>
      <w:r w:rsidR="00170755"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obiective de mediu vizate de Regulamentul privind taxonomia se definește astfel: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1. Se consideră că o activitate prejudiciază în mod semnific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ativ atenuarea schimbărilor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climatice în cazul în care activitatea respectivă generează 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emisii semnificative de gaze cu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efect de seră (GES);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2. Se consideră că o activitate prejudiciază în mod semnif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icativ adaptarea la schimbările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climatice în cazul în care activitatea respectivă duce la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creșterea efectului negativ al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climatului actual și al climatului preconizat în viitor asupra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activității în sine sau asupra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persoanelor, asupra naturii sau asupra activelor;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3. Se consideră că o activitate prejudiciază în mod semn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ificativ utilizarea durabilă și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protejarea resurselor de apă și a celor marine în cazul în c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are activitatea respectivă este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nocivă pentru starea bună sau pentru potențialul ecologic bun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al corpurilor de apă, inclusive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al apelor de suprafață și subterane, sau starea ecologică bună a apelor marine;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18181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4. Se consideră că o activitate prejudiciază în mod semnificat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iv economia circulară, inclusive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prevenirea generării de deșeuri și reciclarea acestora, în cazul în care activitatea 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respective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duce la ineficiențe semnificative în utilizarea materialelo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r sau în utilizarea directă sau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indirectă a resurselor naturale, la o creștere semnificativă a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generării, a incinerării sau a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eliminării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lastRenderedPageBreak/>
        <w:t>deșeurilor, sau în cazul în care eliminarea pe termen lung a deșeurilor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poate cauza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prejudicii semnificative și pe termen lung mediului;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5. Se consideră că o activitate prejudiciază în mod semni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ficativ prevenirea și controlul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poluării în cazul în care activitatea respectivă duce la o crește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re semnificativă a emisiilor de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poluanți în aer, apă sau sol;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</w:p>
    <w:p w:rsidR="00C005BA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6. Se consideră că o activitate economică prejudiciază î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n mod semnificativ protecția și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refacerea biodiversității și a ecosistemelor în cazul în care act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ivitatea respectivă este nocivă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>în mod semnificativ pentru condiția bună și reziliența ecosiste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melor sau nocivă pentru stadiul </w:t>
      </w:r>
      <w:r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de conservare a habitatelor și a speciilor, inclusiv a 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celor de interes pentru Uniune. 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Referitor la obiectivul de mediu 3. Utilizarea durabilă și protejarea resurselor de apă și a celor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marine și obiectivul de mediu 6. Protecția și refacerea biodiversității și a ecosistemelor</w:t>
      </w: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, se</w:t>
      </w:r>
      <w:r w:rsidR="00C005BA" w:rsidRPr="00217749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 c</w:t>
      </w:r>
      <w:r w:rsidRPr="00217749">
        <w:rPr>
          <w:rFonts w:ascii="Times New Roman" w:hAnsi="Times New Roman" w:cs="Times New Roman"/>
          <w:color w:val="000000"/>
          <w:sz w:val="24"/>
          <w:szCs w:val="24"/>
          <w:lang w:val="ro-RO"/>
        </w:rPr>
        <w:t>onsideră că activitățile/lucrările de renovare energetică au un impact previzibil nesemnificativ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asupra acestor obiective de mediu, ținând seama atât de efectele directe, cât ș</w:t>
      </w:r>
      <w:r w:rsidR="00C005BA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i de cele primare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indirecte pe întreaga durată a ciclului de viață.</w:t>
      </w:r>
    </w:p>
    <w:p w:rsidR="00C005BA" w:rsidRPr="00217749" w:rsidRDefault="00C005BA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Referitor la lucrările de creștere a eficienței energetice, pentru a realiza o evaluare de fond conform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principiului DNSH în ceea ce privește obiectivele de mediu 1, 2, 4 și 5, sunt preze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ntate măsurile care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trebuie să respecte principiul DNSH pentru a indica faptul că obiec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tivul de mediu specific nu face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obiectul prejudicierii în mod semnificativ.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380111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Se vor prezenta, la cerere, dacă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>/unde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este cazul, cel puțin următoarele documente în </w:t>
      </w:r>
      <w:r w:rsidR="00170755" w:rsidRPr="00217749">
        <w:rPr>
          <w:rFonts w:ascii="Times New Roman" w:hAnsi="Times New Roman" w:cs="Times New Roman"/>
          <w:sz w:val="24"/>
          <w:szCs w:val="24"/>
          <w:lang w:val="ro-RO"/>
        </w:rPr>
        <w:t>faza de execuție: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Situație de lucrări cu defalcarea următoare (unde este cazul):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3D4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Cantitate de materiale desființate ...... mc/mp</w:t>
      </w:r>
    </w:p>
    <w:p w:rsidR="00170755" w:rsidRPr="00217749" w:rsidRDefault="00170755" w:rsidP="003D4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Cantitate de materiale reutilizate .......mc/mp</w:t>
      </w:r>
    </w:p>
    <w:p w:rsidR="00170755" w:rsidRPr="00217749" w:rsidRDefault="00170755" w:rsidP="003D4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Cantitate de materiale reciclate ....... mc/mp</w:t>
      </w:r>
    </w:p>
    <w:p w:rsidR="003D474F" w:rsidRPr="00217749" w:rsidRDefault="00170755" w:rsidP="002C7377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Cantitate de deșeuri ...... mc/mp</w:t>
      </w:r>
    </w:p>
    <w:p w:rsidR="003D474F" w:rsidRPr="00217749" w:rsidRDefault="00170755" w:rsidP="003D4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Certificare de către firma de gestiune deșeuri cu cantitatea de deșeuri preluate, din care se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specifică cantitatea de d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>eșeuri incinerate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70755" w:rsidRPr="00217749" w:rsidRDefault="00170755" w:rsidP="003D4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Declarații de performanță pentru produsele pentru construcţii, întocmite de producători, sau</w:t>
      </w:r>
    </w:p>
    <w:p w:rsidR="003D474F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declarații de conformitate (dacă sunt utilizate produse pentru con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strucţii care fac obiectul unei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specificaţii tehnice nearmonizate) sau agrement tehnic în c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onstrucţii (dacă sunt utilizate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produse pentru construcţii pentru care nu există specificaţii tehn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>ice armonizate sau specificaţii tehnice nearmonizate)</w:t>
      </w:r>
    </w:p>
    <w:p w:rsidR="00380111" w:rsidRPr="00217749" w:rsidRDefault="00170755" w:rsidP="003D474F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Fișă cu date de securitate ale produselor (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>conform Regulament UE 2015/830)</w:t>
      </w:r>
    </w:p>
    <w:p w:rsidR="003D474F" w:rsidRPr="00217749" w:rsidRDefault="00170755" w:rsidP="002C7377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Fișe tehnice ale echipamentelor folosite la sistemele tehnice ale clădirii – dovada consumului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redus de energie, respectiv posibilitatea utilizării energiei regenerabile, declarațiile de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conformitate</w:t>
      </w:r>
    </w:p>
    <w:p w:rsidR="00170755" w:rsidRPr="00217749" w:rsidRDefault="00170755" w:rsidP="002C7377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Fișe tehnice ale utilajelor utilizate – măsuri de reducerea poluării.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(i) Referitor la Obiectivul de mediu 1. Atenuarea schimbărilor climatice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nu conduce la emisii semnificative de gaze cu efect de seră (GES)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Renovarea energetică a clădirilor existente are o influență global 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pozitivă asupra obiectivelor de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mediu, fiind în conformitate totală cu DNSH pentru obiectivul de atenuare a schimbărilor climatice,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conducând la reducerea semnificativă a emisiilor de gaze cu efec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t de seră (GES) și la creșterea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eficienței energetice, cu respectarea criteriilor de eficiență energe</w:t>
      </w:r>
      <w:r w:rsidR="00380111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tică, din anexa la Regulamentul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privind Mecanismul de Redresare și Reziliență, cu un coeficient al schimbărilor climatice de 100 %.</w:t>
      </w:r>
    </w:p>
    <w:p w:rsidR="00380111" w:rsidRPr="00217749" w:rsidRDefault="00380111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Investițiile realizate au scopul de a reduce consumul de energie, de a crește eficiența energetică,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conducând la o îmbunătățire substanțială a performanței energetice a clădirilor în cauză, respectiv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creșterea eficienței energetice a sistemelor tehnice, astfel: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474F" w:rsidRPr="00217749" w:rsidRDefault="00170755" w:rsidP="002C737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reducerea consumului anual specific de energie finală pentru înc</w:t>
      </w:r>
      <w:r w:rsidR="00DE0A4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ălzire de cel puțin 50% față de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consumul anual specific de energie pentru încălzire înainte de renovare</w:t>
      </w:r>
      <w:r w:rsidR="00DE0A4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a fiecărei clădiri (cu excepția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clădirilor cu valoare arhitecturală deosebită stabilite prin documentați</w:t>
      </w:r>
      <w:r w:rsidR="00DE0A4D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ile de urbanism, clădirilor din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zone construite protejate aprobate conform legii).</w:t>
      </w:r>
    </w:p>
    <w:p w:rsidR="003D474F" w:rsidRPr="00217749" w:rsidRDefault="00170755" w:rsidP="002C737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reducerea consumului de energie primară și a emisiilor de CO2, situată în intervalul 30% - 60% pentru</w:t>
      </w:r>
    </w:p>
    <w:p w:rsidR="00170755" w:rsidRPr="00217749" w:rsidRDefault="00170755" w:rsidP="002C737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proiectele de renovare energetică moderată, respectiv peste 60% pentru proiectele de renovare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energetică aprofundată, în comparație cu starea de pre-renovare.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3D47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În cazul în care intervenția se încadrează într-o investiție pentru care nu se preconizează nicio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contribuție substanțială la acest obiectiv de mediu, cerințele DNSH care trebuie îndeplinite sunt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următoarele: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clădirea nu este utilizată pentru extracția, depozitarea, transportul sau producția de combustibili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fosili (pct. 1 din Lista de verificare privind aplicarea DNSH).</w:t>
      </w:r>
    </w:p>
    <w:p w:rsidR="00170755" w:rsidRPr="00217749" w:rsidRDefault="00170755" w:rsidP="002C7377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Intervențiile demonstrează o reducere semnificativă a emisiilor de CO2, prin următoarele verificări: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3D474F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înainte de începerea execuției lucrărilor de renovare energetică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D474F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certificat de performanță energetică</w:t>
      </w:r>
    </w:p>
    <w:p w:rsidR="003D474F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raportul de audit energetic cu măsuri propuse de renovare, necesare pentru atingerea indicatorilor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 eficiență energetică prevăzuți prin proiect, respectiv valorile indicatorilor de eficiență energetică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prevăzuți a se obține după renovare</w:t>
      </w:r>
    </w:p>
    <w:p w:rsidR="001707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prevederi în caietele de sarcini pentru elaborarea documentației tehnico-economice și proiectului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tehnic (descrierea modalității de reducerea emisiilor de gaze cu efect de seră atât pe parcursul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execuției cât și în conformarea clădirii)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>, dacă este cazul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2 ÷ 5, 15, 16, 17, 22, 23 din Lista de verificare privind aplicarea DNSH.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D474F" w:rsidRPr="00217749" w:rsidRDefault="00170755" w:rsidP="002C737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după finalizarea execuției lucrărilor de renovare energetică</w:t>
      </w:r>
      <w:r w:rsidR="003D474F"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3D474F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certificat de performanță energetică la finalizarea 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>lucrarilor</w:t>
      </w:r>
    </w:p>
    <w:p w:rsidR="003D474F" w:rsidRPr="00217749" w:rsidRDefault="003D474F" w:rsidP="003D474F">
      <w:pPr>
        <w:pStyle w:val="Listparagraf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24 ÷ 25 din Lista de verificare privind aplicarea DNSH.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(ii) Referitor la Obiectivul de mediu 2. Adaptarea la schimbările climatice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nu conduce la creșterea efectului negativ al climatului actual și viitor asupra măsurii în</w:t>
      </w:r>
      <w:r w:rsidR="003D474F"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sine, persoanelor, naturii sau asupra clădirilor.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Pentru adaptarea clădirilor la schimbările climatice generate de valuri de căldură, prin proiect se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asigură obligația optimizării sistemelor tehnice din clădirile renovate pentru a oferi confort termic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ocupanților chiar și în temperaturile extreme respective.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FD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Intervențiile demonstrează că nu există influențe negative majore în ceea ce privește acestui obiectiv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 mediu asupra activității în sine sau asupra oamenilor, naturii sau activelor, fiind preconizată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îmbunătățirea fondului construit pe durată a ciclului de viață, prin următoarele verificări:</w:t>
      </w:r>
    </w:p>
    <w:p w:rsidR="00170755" w:rsidRPr="00217749" w:rsidRDefault="00170755" w:rsidP="003D474F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înainte de începerea execuției lucrărilor de renovare energetică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D474F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certificat de performanță energetică</w:t>
      </w:r>
    </w:p>
    <w:p w:rsidR="003D474F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raportul de audit energetic cu măsuri propuse de renovare, necesare pentru atingerea indicatorilor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 eficiență energetică prevăzuți prin proiect, respectiv valorile indicatorilor de eficiență energetică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prevăzuți a se obține după renovare</w:t>
      </w:r>
    </w:p>
    <w:p w:rsidR="001707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prevederi în caietele de sarcini pentru elaborarea documentației tehnico-economice și proiectului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tehnic (descrierea modalității de reducere a folosirii combustibililor fosili și a consumului de energie,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descrierea modalităților de eficientizare energetică și utilizarea resurselor regenerabile atât pe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parcursul execuției lucrărilor, cât și ulterior recepționării clădirii)</w:t>
      </w:r>
      <w:r w:rsidR="003D474F" w:rsidRPr="00217749">
        <w:rPr>
          <w:rFonts w:ascii="Times New Roman" w:hAnsi="Times New Roman" w:cs="Times New Roman"/>
          <w:sz w:val="24"/>
          <w:szCs w:val="24"/>
          <w:lang w:val="ro-RO"/>
        </w:rPr>
        <w:t>, dacă este cazul</w:t>
      </w:r>
    </w:p>
    <w:p w:rsidR="003D474F" w:rsidRPr="00217749" w:rsidRDefault="003D474F" w:rsidP="003D474F">
      <w:pPr>
        <w:pStyle w:val="Listparagraf"/>
        <w:autoSpaceDE w:val="0"/>
        <w:autoSpaceDN w:val="0"/>
        <w:adjustRightInd w:val="0"/>
        <w:spacing w:after="0" w:line="240" w:lineRule="auto"/>
        <w:ind w:left="234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1 ÷ 5, 15, 16, 17, 19, 22, 23 din Lista de verificare privind aplicarea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DNSH.</w:t>
      </w:r>
    </w:p>
    <w:p w:rsidR="003D474F" w:rsidRPr="00217749" w:rsidRDefault="003D474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54A0" w:rsidRPr="00217749" w:rsidRDefault="00170755" w:rsidP="002C737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după finalizarea execuției lucrărilor de renovare energetică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6254A0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certificat de performanță energetică la finalizarea lucrărilor</w:t>
      </w:r>
    </w:p>
    <w:p w:rsidR="006254A0" w:rsidRPr="00217749" w:rsidRDefault="006254A0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24 ÷ 25 din Lista de verificare privind aplicarea DNSH.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(iii) Referitor la Obiectivul de mediu 4. Tranziția către o economie circulară, inclusiv prevenirea</w:t>
      </w:r>
      <w:r w:rsidR="006254A0"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generării de deșeuri și reciclarea acestora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nu va cauza prejudicii semnificative și pe termen lung mediului în ceea ce privește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economia circulară.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va asigura că cel puțin 70% (în greutate) din deșeurile nepericuloase provenite din</w:t>
      </w:r>
    </w:p>
    <w:p w:rsidR="00170755" w:rsidRPr="00217749" w:rsidRDefault="00170755" w:rsidP="006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activități de construcție și demolări (cu excepția materialelor naturale menționate în categoria 17 05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04 din lista europeană a deșeurilor stabilită prin Decizia 2000/532/CE) și generate pe șantier vor fi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pregătite pentru reutilizare, reciclare și alte operațiuni de valorificare materială, inclusiv operațiuni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 umplere care utilizează deșeuri pentru a înlocui alte materiale, în conformitate cu ierarhia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deșeurilor și cu Protocolul UE de gestionare a deșeurilor din construcții și demolări.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6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va asigura limitarea generării de deșeuri în activitățile de construcție și demolări, în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conformitate cu Protocolul UE de gestionare a deșeurilor din construcții și demolări și luând în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considerare cele mai bune tehnici disponibile și folosind demolarea selectivă pentru a permite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îndepărtarea și manipularea în siguranță a substanțelor periculoase și pentru a facilita reutilizarea și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reciclare de înaltă calitate prin îndepărtarea selectivă a materialelor, folosind sistemele de sortare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disponibile pentru deșeurile din construcții și demolări.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Pentru echipamentele destinate producției de energie din surse regenerabile care pot fi instalate, se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stabilesc specificații tehnice în ceea ce privește durabilitatea și potențialul lor de reparare și de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reciclare. În special, operatorii vor limita generarea de deșeuri în procesele aferente construcțiilor și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demolărilor, în conformitate cu Protocolul UE de gestionare a deșeurilor din construcții și demolări.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54A0" w:rsidRPr="00217749" w:rsidRDefault="00170755" w:rsidP="00625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prevede ca tehnicile de construcție sprijină circularitatea, astfel încât să fie mai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eficiente din punctul de vedere al utilizării resurselor, adaptabile, flexibile și demontabile.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Intervențiile demonstrează că nu vor cauza prejudicii semnificative și pe termen lung mediului în</w:t>
      </w:r>
      <w:r w:rsidR="006254A0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ceea ce privește economia circulară:</w:t>
      </w:r>
    </w:p>
    <w:p w:rsidR="006254A0" w:rsidRPr="00217749" w:rsidRDefault="006254A0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5D55" w:rsidRPr="00217749" w:rsidRDefault="00170755" w:rsidP="002C737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înainte de începerea execuției lucrărilor de renovare energetică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46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asumarea privind realizarea acestor măsuri (a se vedea pct. 20 din Lista de verificare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privind aplicarea DNSH)</w:t>
      </w:r>
    </w:p>
    <w:p w:rsidR="001707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prevederi în caietele de sarcini pentru elaborarea documentației tehnico-economice și proiectului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tehnic (descrierea gestionării deșeurilor, inclusiv a categoriilor care necesită incinerare - deșeuri din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construcție, deșeuri rezultate din ambalaje materiale, etc), descrierea materialelor de contrucție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propuse a fi utilizate, acestea obligatoriu fiind din categoria materialelor prietenoase cu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lastRenderedPageBreak/>
        <w:t>mediul,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echipamente pentru energie regenerabilă, descrirea modalității de reutilizare a materialelor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desființate)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>, daca este cazul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4655" w:rsidRPr="00217749" w:rsidRDefault="00170755" w:rsidP="002C737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după finalizarea execuției lucrărilor de renovare energetică</w:t>
      </w:r>
    </w:p>
    <w:p w:rsidR="00FD434E" w:rsidRPr="00217749" w:rsidRDefault="00FD434E" w:rsidP="00FD434E">
      <w:pPr>
        <w:pStyle w:val="Listparagraf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46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document din care să reiasă tipurile de deșeuri generate din activitățile/lucrările executate și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cantitatea acestora;</w:t>
      </w:r>
    </w:p>
    <w:p w:rsidR="00AC46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listele cu cantităţile de lucrări, pe categorii de lucrări, listele cu cantităţile de utilaje şi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echipamente tehnologice</w:t>
      </w:r>
    </w:p>
    <w:p w:rsidR="001707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contract încheiat cu operator economic care colectează și/sau transportă deșeuri sau care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desfăşoară operaţiuni de valorificare a deşeurilor.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27 ÷ 30 din Lista de verificare privind aplicarea DNSH.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(iv) Referitor la Obiectivul de mediu 5. Prevenirea și controlul poluării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nu va conduce la o creștere semnificativă a emisiilor de poluanți în aer, apă sau sol.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AC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Nivelul de creștere a performanței energetice a clădirii impus prin proiect va conduce la reduceri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semnificative ale emisiilor în aer și la o îmbunătățire a sănătății publice.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vor asigura măsuri privind calitatea aerului din interior, prin evitarea utilizării de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materiale de construcţie ce conțin substanțe poluante, precum formaldehida din placaj și substanţele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ignifuge din numeroase materiale sau radonul care provine, atât din soluri, cât și din materialele de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construcţie.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va asigura că materialele de construcție și componen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tele utilizate nu conțin azbest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nici substanțe identificate pe baza listei substanțelor supuse autorizării prevăzute în anexa XIV la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Regulamentul (CE) nr. 1907/2006.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va asigura că materialele de construcție și componentele utilizate, care pot intra în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contact cu ocupanții, emit mai puțin de 0,06 mg de formaldehidă pe m3 de material sau componentă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și mai puțin de 0,001 mg de compuși organici volatili cancerigeni din categoriile 1A și 1B pe m3 de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material sau componentă, în urma testării în conformitate cu CEN/TS 16516 și ISO 16000-3 sau cu alte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condiții de testare standardizate și metode de determinare comparabile.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recomandă utilizarea materialelor de construcții care conduc la reducerea zgomotului,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a prafului și a emisiilor poluante în timpul lucrărilor de renovare.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Prin proiect se recomandă utilizarea materialelor cu conținut scăzut de carbon, prin folosirea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materialelor disponibile cât mai aproape de locul construcției și a celor al căror proces de producție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este cât se poate de prietenos cu mediul. Trebuie avută în vedere utilizarea produselor de construcții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non-toxice, reciclabile și biodegradabile, fabricate la nivelul industriei locale, din materii prime</w:t>
      </w:r>
      <w:r w:rsidR="00AC4655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produse în zonă, folosind tehnici care nu afectează mediul.</w:t>
      </w:r>
    </w:p>
    <w:p w:rsidR="00AC4655" w:rsidRPr="00217749" w:rsidRDefault="00AC46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Intervențiile demonstrează că nu conduc la o creștere semnificativă a emisiilor de poluanți în aer,</w:t>
      </w: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lastRenderedPageBreak/>
        <w:t>apă sau sol, prin următoarele verificări:</w:t>
      </w:r>
    </w:p>
    <w:p w:rsidR="00FE179F" w:rsidRPr="00217749" w:rsidRDefault="00FE179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E179F" w:rsidRPr="00217749" w:rsidRDefault="00170755" w:rsidP="00FE179F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înainte de începerea execuției lucrărilor de renovare energetică</w:t>
      </w:r>
    </w:p>
    <w:p w:rsidR="00FE179F" w:rsidRPr="00217749" w:rsidRDefault="00FE179F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46EB3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asumarea privind realizarea acestor măsuri (lista de verificare a aplicării DNSH)</w:t>
      </w:r>
    </w:p>
    <w:p w:rsidR="00170755" w:rsidRPr="00217749" w:rsidRDefault="00170755" w:rsidP="002C7377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prevederi în caietele de sarcini pentru elaborarea documentației tehnico-economice și proiectului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tehnic (descrierea modalității de reducerea poluării în cadrul organizării de șantier, inclusiv utilajele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folosite și transportul materialelor, descrierea modalității de reducere a poluării pe toată durata de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existență a clădirii)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>, dacă este cazul.</w:t>
      </w:r>
    </w:p>
    <w:p w:rsidR="00C46EB3" w:rsidRPr="00217749" w:rsidRDefault="00C46EB3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6 ÷ 14 din Lista de verificare privind aplicarea DNSH.</w:t>
      </w:r>
    </w:p>
    <w:p w:rsidR="00C46EB3" w:rsidRPr="00217749" w:rsidRDefault="00C46EB3" w:rsidP="002C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6EB3" w:rsidRPr="00217749" w:rsidRDefault="00170755" w:rsidP="002C7377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Elemente de verificare după finalizarea execuției lucrărilor de renovare energetică</w:t>
      </w:r>
      <w:r w:rsidR="00C46EB3" w:rsidRPr="0021774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46582C" w:rsidRPr="00217749" w:rsidRDefault="0046582C" w:rsidP="0046582C">
      <w:pPr>
        <w:pStyle w:val="Listparagraf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46EB3" w:rsidRPr="00217749" w:rsidRDefault="00170755" w:rsidP="00C46EB3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declarații de performanță pentru produsele pentru construcţii, întocmite de producători, sau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declarații de conformitate (dacă sunt utilizate produse pentru construcţii care fac obiectul unei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specificaţii tehnice nearmonizate) sau agrement tehnic în construcţii (dacă sunt utilizate produse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pentru construcţii pentru care nu există specificaţii tehnice armonizate sau specificaţii tehnice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nearmonizate;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70755" w:rsidRPr="00217749" w:rsidRDefault="00170755" w:rsidP="00C46EB3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sz w:val="24"/>
          <w:szCs w:val="24"/>
          <w:lang w:val="ro-RO"/>
        </w:rPr>
        <w:t>specificații tehnice echipamente (sisteme tehnice ale clădirii: sisteme de climatizare și/sau</w:t>
      </w:r>
      <w:r w:rsidR="00C46EB3" w:rsidRPr="002177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749">
        <w:rPr>
          <w:rFonts w:ascii="Times New Roman" w:hAnsi="Times New Roman" w:cs="Times New Roman"/>
          <w:sz w:val="24"/>
          <w:szCs w:val="24"/>
          <w:lang w:val="ro-RO"/>
        </w:rPr>
        <w:t>ventilare mecanică, iluminat)</w:t>
      </w:r>
    </w:p>
    <w:p w:rsidR="00C46EB3" w:rsidRPr="00217749" w:rsidRDefault="00C46EB3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Se verifică corelarea cu pct. 26 din Lista de verificare privind aplicarea DNSH.</w:t>
      </w:r>
    </w:p>
    <w:p w:rsidR="0046582C" w:rsidRPr="00217749" w:rsidRDefault="0046582C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56A7" w:rsidRPr="00217749" w:rsidRDefault="0046582C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Anexe: </w:t>
      </w:r>
      <w:bookmarkStart w:id="0" w:name="_GoBack"/>
      <w:bookmarkEnd w:id="0"/>
    </w:p>
    <w:p w:rsidR="0046582C" w:rsidRPr="00217749" w:rsidRDefault="0046582C" w:rsidP="00F656A7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Lista de verificare privind aplicarea DNSH</w:t>
      </w:r>
      <w:r w:rsidR="00F656A7" w:rsidRPr="00217749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F656A7" w:rsidRPr="00217749" w:rsidRDefault="00F656A7" w:rsidP="00F656A7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749">
        <w:rPr>
          <w:rFonts w:ascii="Times New Roman" w:hAnsi="Times New Roman" w:cs="Times New Roman"/>
          <w:b/>
          <w:sz w:val="24"/>
          <w:szCs w:val="24"/>
          <w:lang w:val="ro-RO"/>
        </w:rPr>
        <w:t>Analiză DNSH.</w:t>
      </w:r>
    </w:p>
    <w:p w:rsidR="00F656A7" w:rsidRPr="00217749" w:rsidRDefault="00F656A7" w:rsidP="002C737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0755" w:rsidRPr="00217749" w:rsidRDefault="00170755" w:rsidP="002C73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70755" w:rsidRPr="00217749" w:rsidSect="00217749">
      <w:pgSz w:w="12240" w:h="15840"/>
      <w:pgMar w:top="1417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B58"/>
    <w:multiLevelType w:val="hybridMultilevel"/>
    <w:tmpl w:val="65AE2484"/>
    <w:lvl w:ilvl="0" w:tplc="41D4D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2DA"/>
    <w:multiLevelType w:val="hybridMultilevel"/>
    <w:tmpl w:val="4F20D744"/>
    <w:lvl w:ilvl="0" w:tplc="93C69C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388B"/>
    <w:multiLevelType w:val="hybridMultilevel"/>
    <w:tmpl w:val="982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6132"/>
    <w:multiLevelType w:val="hybridMultilevel"/>
    <w:tmpl w:val="FE244EE4"/>
    <w:lvl w:ilvl="0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3F624895"/>
    <w:multiLevelType w:val="hybridMultilevel"/>
    <w:tmpl w:val="6F24196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A584B82"/>
    <w:multiLevelType w:val="hybridMultilevel"/>
    <w:tmpl w:val="F5C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46B9"/>
    <w:multiLevelType w:val="hybridMultilevel"/>
    <w:tmpl w:val="F188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01F"/>
    <w:multiLevelType w:val="hybridMultilevel"/>
    <w:tmpl w:val="6E9A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19C9"/>
    <w:rsid w:val="00054830"/>
    <w:rsid w:val="001143F0"/>
    <w:rsid w:val="00170755"/>
    <w:rsid w:val="00217749"/>
    <w:rsid w:val="002C7377"/>
    <w:rsid w:val="003156D1"/>
    <w:rsid w:val="00380111"/>
    <w:rsid w:val="003D474F"/>
    <w:rsid w:val="004319C9"/>
    <w:rsid w:val="0046582C"/>
    <w:rsid w:val="005A5D55"/>
    <w:rsid w:val="006254A0"/>
    <w:rsid w:val="00783EAD"/>
    <w:rsid w:val="0081391C"/>
    <w:rsid w:val="00AC4655"/>
    <w:rsid w:val="00C005BA"/>
    <w:rsid w:val="00C46EB3"/>
    <w:rsid w:val="00DE0A4D"/>
    <w:rsid w:val="00E017DF"/>
    <w:rsid w:val="00F656A7"/>
    <w:rsid w:val="00FD434E"/>
    <w:rsid w:val="00F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06653-76AA-4E99-880F-65E8D823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1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011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1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2564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Cosima Cristea</dc:creator>
  <cp:keywords/>
  <dc:description/>
  <cp:lastModifiedBy>Nicolae Stoicescu</cp:lastModifiedBy>
  <cp:revision>16</cp:revision>
  <cp:lastPrinted>2023-05-10T05:59:00Z</cp:lastPrinted>
  <dcterms:created xsi:type="dcterms:W3CDTF">2023-03-06T08:52:00Z</dcterms:created>
  <dcterms:modified xsi:type="dcterms:W3CDTF">2023-05-10T05:59:00Z</dcterms:modified>
</cp:coreProperties>
</file>